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6E39" w14:textId="2C291935" w:rsidR="005C0FAC" w:rsidRPr="009337FB" w:rsidRDefault="005C0FAC" w:rsidP="00DB10A0">
      <w:pPr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9337FB">
        <w:rPr>
          <w:rFonts w:asciiTheme="majorHAnsi" w:hAnsiTheme="majorHAnsi" w:cstheme="majorHAnsi"/>
          <w:b/>
          <w:bCs/>
          <w:color w:val="7030A0"/>
          <w:sz w:val="32"/>
          <w:szCs w:val="32"/>
        </w:rPr>
        <w:t>Bijlage 3</w:t>
      </w:r>
      <w:r w:rsidR="009337FB">
        <w:rPr>
          <w:rFonts w:asciiTheme="majorHAnsi" w:hAnsiTheme="majorHAnsi" w:cstheme="majorHAnsi"/>
          <w:b/>
          <w:bCs/>
          <w:color w:val="7030A0"/>
          <w:sz w:val="32"/>
          <w:szCs w:val="32"/>
        </w:rPr>
        <w:t xml:space="preserve">: </w:t>
      </w:r>
      <w:r w:rsidRPr="009337FB">
        <w:rPr>
          <w:rFonts w:asciiTheme="majorHAnsi" w:hAnsiTheme="majorHAnsi" w:cstheme="majorHAnsi"/>
          <w:b/>
          <w:bCs/>
          <w:color w:val="7030A0"/>
          <w:sz w:val="32"/>
          <w:szCs w:val="32"/>
        </w:rPr>
        <w:t>Tekst voor het kwaliteitshandboek</w:t>
      </w:r>
    </w:p>
    <w:p w14:paraId="719E3059" w14:textId="4165F217" w:rsidR="009337FB" w:rsidRDefault="009337FB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736EEA3E" w14:textId="7F05209D" w:rsidR="005C0FAC" w:rsidRPr="009337FB" w:rsidRDefault="00BC2D8B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iCs/>
          <w:noProof/>
          <w:color w:val="8064A2" w:themeColor="accent4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373882D8" wp14:editId="2F04D13F">
            <wp:simplePos x="0" y="0"/>
            <wp:positionH relativeFrom="column">
              <wp:posOffset>3971925</wp:posOffset>
            </wp:positionH>
            <wp:positionV relativeFrom="paragraph">
              <wp:posOffset>29210</wp:posOffset>
            </wp:positionV>
            <wp:extent cx="1171575" cy="1642745"/>
            <wp:effectExtent l="19050" t="19050" r="28575" b="14605"/>
            <wp:wrapThrough wrapText="bothSides">
              <wp:wrapPolygon edited="0">
                <wp:start x="-351" y="-250"/>
                <wp:lineTo x="-351" y="21542"/>
                <wp:lineTo x="21776" y="21542"/>
                <wp:lineTo x="21776" y="-250"/>
                <wp:lineTo x="-351" y="-25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4274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De aanpak ‘Flitsbezoek’ is een werkwijze die goed past binnen de professionele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cultuur van onze school. De aanpak helpt ons met een focus op de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leerinhoud, leerdoelen en op de beslissingen die genomen worden met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betrekking tot het onderwijsleerproces.</w:t>
      </w:r>
    </w:p>
    <w:p w14:paraId="2970DAA9" w14:textId="77777777" w:rsidR="009337FB" w:rsidRDefault="009337FB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11D31C1" w14:textId="5CB1BB72" w:rsidR="005C0FAC" w:rsidRPr="009337FB" w:rsidRDefault="005C0FAC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De directeur zal wekeli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>jks flitsbezoeken afl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eggen aan alle groepen. Flitsbezoeken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zijn korte bezoekjes van circa drie minuten waarin de directeur een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aantal aspecten van de les bekijkt. Deze aspecten zijn:</w:t>
      </w:r>
    </w:p>
    <w:p w14:paraId="580A7BE0" w14:textId="77777777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253F1426" w14:textId="77777777" w:rsidR="005C0FAC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De betrokkenheid van de leerlingen bij de les.</w:t>
      </w:r>
    </w:p>
    <w:p w14:paraId="7FF4B797" w14:textId="77777777" w:rsidR="005C0FAC" w:rsidRPr="009337FB" w:rsidRDefault="00DB10A0" w:rsidP="00DB10A0">
      <w:pPr>
        <w:ind w:left="720" w:hanging="720"/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De keuzes van de leraar met betrekking tot de activiteiten in relatie tot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het leerdoel.</w:t>
      </w:r>
    </w:p>
    <w:p w14:paraId="6A340820" w14:textId="77777777" w:rsidR="005C0FAC" w:rsidRPr="009337FB" w:rsidRDefault="005C0FAC" w:rsidP="00DB10A0">
      <w:pPr>
        <w:ind w:left="720" w:hanging="720"/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De interventies en beslissingen van de leraar in relatie tot het leerdoel.</w:t>
      </w:r>
    </w:p>
    <w:p w14:paraId="69289F98" w14:textId="77777777" w:rsidR="005C0FAC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‘Aankleding’ van de wanden.</w:t>
      </w:r>
    </w:p>
    <w:p w14:paraId="567F809B" w14:textId="77777777" w:rsidR="005C0FAC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•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Veiligheid en gezondheid.</w:t>
      </w:r>
    </w:p>
    <w:p w14:paraId="747593D8" w14:textId="77777777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21C6454D" w14:textId="1C12E7C0" w:rsidR="005C0FAC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Naar aanleiding van de fl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itsbezoeken zal de directeur e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en refl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ectieve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dial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>o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og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aangaan met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de leraren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met als doel het refl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ectieve en analytische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vermogen van de leraar te versterken en een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sfeer te creëren van wederzijds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leren.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br/>
      </w:r>
    </w:p>
    <w:p w14:paraId="4E5D4F46" w14:textId="77777777" w:rsidR="005C0FAC" w:rsidRPr="009337FB" w:rsidRDefault="005C0FAC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Het ultieme doel is nog betere leraren, dus nog beter onderwijs.</w:t>
      </w:r>
    </w:p>
    <w:p w14:paraId="6CB70206" w14:textId="77777777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43D598F7" w14:textId="77777777" w:rsidR="005C0FAC" w:rsidRPr="009337FB" w:rsidRDefault="005C0FAC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sectPr w:rsidR="005C0FAC" w:rsidRPr="009337FB" w:rsidSect="00447A1F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8F86" w14:textId="77777777" w:rsidR="009337FB" w:rsidRDefault="009337FB" w:rsidP="009337FB">
      <w:r>
        <w:separator/>
      </w:r>
    </w:p>
  </w:endnote>
  <w:endnote w:type="continuationSeparator" w:id="0">
    <w:p w14:paraId="4739D63E" w14:textId="77777777" w:rsidR="009337FB" w:rsidRDefault="009337FB" w:rsidP="0093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79FA" w14:textId="5F6F63C4" w:rsidR="009337FB" w:rsidRDefault="009337FB">
    <w:pPr>
      <w:pStyle w:val="Voettekst"/>
    </w:pPr>
    <w:r>
      <w:t>Flitsbezoek © Bazalt</w:t>
    </w:r>
    <w:r>
      <w:ptab w:relativeTo="margin" w:alignment="center" w:leader="none"/>
    </w:r>
    <w:r>
      <w:ptab w:relativeTo="margin" w:alignment="right" w:leader="none"/>
    </w:r>
    <w:r>
      <w:t>www.bazalt.nl/flitsbezoek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DA23" w14:textId="77777777" w:rsidR="009337FB" w:rsidRDefault="009337FB" w:rsidP="009337FB">
      <w:r>
        <w:separator/>
      </w:r>
    </w:p>
  </w:footnote>
  <w:footnote w:type="continuationSeparator" w:id="0">
    <w:p w14:paraId="3D01E955" w14:textId="77777777" w:rsidR="009337FB" w:rsidRDefault="009337FB" w:rsidP="0093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4FA9"/>
    <w:multiLevelType w:val="hybridMultilevel"/>
    <w:tmpl w:val="75883D16"/>
    <w:lvl w:ilvl="0" w:tplc="4BBCF0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8F7"/>
    <w:multiLevelType w:val="hybridMultilevel"/>
    <w:tmpl w:val="48880A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FAC"/>
    <w:rsid w:val="001E2FFD"/>
    <w:rsid w:val="003667DB"/>
    <w:rsid w:val="003F1EF3"/>
    <w:rsid w:val="00447A1F"/>
    <w:rsid w:val="00492E30"/>
    <w:rsid w:val="00541BA5"/>
    <w:rsid w:val="005474B6"/>
    <w:rsid w:val="00563E22"/>
    <w:rsid w:val="005C0FAC"/>
    <w:rsid w:val="006C04CE"/>
    <w:rsid w:val="007811BF"/>
    <w:rsid w:val="007F2990"/>
    <w:rsid w:val="009337FB"/>
    <w:rsid w:val="00A33E6B"/>
    <w:rsid w:val="00BC2D8B"/>
    <w:rsid w:val="00DB10A0"/>
    <w:rsid w:val="00F62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662CC"/>
  <w15:docId w15:val="{AB7F4023-1BEE-4D21-B785-F649CC82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E6B"/>
    <w:rPr>
      <w:rFonts w:ascii="Verdana" w:hAnsi="Verdana"/>
      <w:color w:val="82828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37FB"/>
    <w:rPr>
      <w:rFonts w:ascii="Verdana" w:hAnsi="Verdana"/>
      <w:color w:val="82828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33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37FB"/>
    <w:rPr>
      <w:rFonts w:ascii="Verdana" w:hAnsi="Verdana"/>
      <w:color w:val="828282"/>
      <w:szCs w:val="24"/>
    </w:rPr>
  </w:style>
  <w:style w:type="paragraph" w:styleId="Lijstalinea">
    <w:name w:val="List Paragraph"/>
    <w:basedOn w:val="Standaard"/>
    <w:uiPriority w:val="34"/>
    <w:qFormat/>
    <w:rsid w:val="0054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3E8EB63574C4CBC2164689672ACA3" ma:contentTypeVersion="11" ma:contentTypeDescription="Een nieuw document maken." ma:contentTypeScope="" ma:versionID="7843c0a43fdafce2eab972b6c7111c29">
  <xsd:schema xmlns:xsd="http://www.w3.org/2001/XMLSchema" xmlns:xs="http://www.w3.org/2001/XMLSchema" xmlns:p="http://schemas.microsoft.com/office/2006/metadata/properties" xmlns:ns2="173c2249-75be-4262-aaa9-95504e762036" xmlns:ns3="3e440554-10ce-473e-b045-26f7bdee4b14" targetNamespace="http://schemas.microsoft.com/office/2006/metadata/properties" ma:root="true" ma:fieldsID="ea8e35670d313ea0804972484db65b4c" ns2:_="" ns3:_="">
    <xsd:import namespace="173c2249-75be-4262-aaa9-95504e762036"/>
    <xsd:import namespace="3e440554-10ce-473e-b045-26f7bdee4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249-75be-4262-aaa9-95504e76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0554-10ce-473e-b045-26f7bdee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6D05F-6026-4F52-88B0-43E2E2EB7779}"/>
</file>

<file path=customXml/itemProps2.xml><?xml version="1.0" encoding="utf-8"?>
<ds:datastoreItem xmlns:ds="http://schemas.openxmlformats.org/officeDocument/2006/customXml" ds:itemID="{CBCBDD01-ABB3-4CEA-998B-C6F520D09403}"/>
</file>

<file path=customXml/itemProps3.xml><?xml version="1.0" encoding="utf-8"?>
<ds:datastoreItem xmlns:ds="http://schemas.openxmlformats.org/officeDocument/2006/customXml" ds:itemID="{5E8F4D85-3EC5-4194-A400-B654CBAD8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Haags centrum voor onderwijsbegeleiding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Joost Maarschalkerweerd</dc:creator>
  <cp:lastModifiedBy>Anita de Jong</cp:lastModifiedBy>
  <cp:revision>3</cp:revision>
  <cp:lastPrinted>2013-02-04T15:47:00Z</cp:lastPrinted>
  <dcterms:created xsi:type="dcterms:W3CDTF">2020-11-17T13:12:00Z</dcterms:created>
  <dcterms:modified xsi:type="dcterms:W3CDTF">2020-11-17T13:12:00Z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0x0101003193E8EB63574C4CBC2164689672ACA3</vt:lpwstr>
  </property>
</Properties>
</file>